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A825C29-E71B-42B8-AFB6-70EA24E1AC26" style="width:455.25pt;height:438.75pt">
            <v:imagedata r:id="rId11" o:title=""/>
          </v:shape>
        </w:pict>
      </w:r>
    </w:p>
    <w:bookmarkEnd w:id="0"/>
    <w:p>
      <w:pPr>
        <w:jc w:val="both"/>
        <w:rPr>
          <w:noProof/>
          <w:lang w:val="en-IE"/>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tbl>
      <w:tblPr>
        <w:tblStyle w:val="TableGrid"/>
        <w:tblW w:w="0" w:type="auto"/>
        <w:tblInd w:w="113" w:type="dxa"/>
        <w:tblLook w:val="04A0" w:firstRow="1" w:lastRow="0" w:firstColumn="1" w:lastColumn="0" w:noHBand="0" w:noVBand="1"/>
      </w:tblPr>
      <w:tblGrid>
        <w:gridCol w:w="9175"/>
      </w:tblGrid>
      <w:tr>
        <w:tc>
          <w:tcPr>
            <w:tcW w:w="9175" w:type="dxa"/>
            <w:shd w:val="clear" w:color="auto" w:fill="D9D9D9" w:themeFill="background1" w:themeFillShade="D9"/>
          </w:tcPr>
          <w:p>
            <w:pPr>
              <w:pStyle w:val="Heading1"/>
              <w:spacing w:before="0" w:line="276" w:lineRule="auto"/>
              <w:jc w:val="center"/>
              <w:outlineLvl w:val="0"/>
              <w:rPr>
                <w:noProof/>
                <w:color w:val="auto"/>
              </w:rPr>
            </w:pPr>
            <w:r>
              <w:rPr>
                <w:rFonts w:ascii="Times New Roman" w:hAnsi="Times New Roman"/>
                <w:noProof/>
                <w:color w:val="auto"/>
                <w:sz w:val="22"/>
              </w:rPr>
              <w:lastRenderedPageBreak/>
              <w:t>Résumé de l’analyse d’impact</w:t>
            </w:r>
          </w:p>
        </w:tc>
      </w:tr>
      <w:tr>
        <w:tc>
          <w:tcPr>
            <w:tcW w:w="9175" w:type="dxa"/>
            <w:shd w:val="clear" w:color="auto" w:fill="548DD4" w:themeFill="text2" w:themeFillTint="99"/>
          </w:tcPr>
          <w:p>
            <w:pPr>
              <w:spacing w:line="276" w:lineRule="auto"/>
              <w:rPr>
                <w:noProof/>
                <w:color w:val="FFFFFF" w:themeColor="background1"/>
              </w:rPr>
            </w:pPr>
            <w:r>
              <w:rPr>
                <w:rFonts w:ascii="Times New Roman" w:hAnsi="Times New Roman"/>
                <w:b/>
                <w:noProof/>
                <w:color w:val="FFFFFF" w:themeColor="background1"/>
                <w:sz w:val="20"/>
              </w:rPr>
              <w:t>Analyse d’impact relative à la proposition de règlement du Parlement européen et du Conseil sur le logement abordable</w:t>
            </w:r>
          </w:p>
        </w:tc>
      </w:tr>
      <w:tr>
        <w:tc>
          <w:tcPr>
            <w:tcW w:w="9175" w:type="dxa"/>
            <w:shd w:val="clear" w:color="auto" w:fill="D9D9D9" w:themeFill="background1" w:themeFillShade="D9"/>
          </w:tcPr>
          <w:p>
            <w:pPr>
              <w:pStyle w:val="Heading1"/>
              <w:spacing w:before="0" w:line="276" w:lineRule="auto"/>
              <w:jc w:val="center"/>
              <w:outlineLvl w:val="0"/>
              <w:rPr>
                <w:rFonts w:ascii="Times New Roman" w:eastAsia="Times New Roman" w:hAnsi="Times New Roman"/>
                <w:noProof/>
                <w:color w:val="auto"/>
                <w:sz w:val="22"/>
              </w:rPr>
            </w:pPr>
            <w:r>
              <w:rPr>
                <w:rFonts w:ascii="Times New Roman" w:hAnsi="Times New Roman"/>
                <w:noProof/>
                <w:color w:val="auto"/>
                <w:sz w:val="22"/>
              </w:rPr>
              <w:t>A. Nécessité d’une action</w:t>
            </w:r>
          </w:p>
        </w:tc>
      </w:tr>
      <w:tr>
        <w:tc>
          <w:tcPr>
            <w:tcW w:w="9175" w:type="dxa"/>
            <w:shd w:val="clear" w:color="auto" w:fill="F2F2F2" w:themeFill="background1" w:themeFillShade="F2"/>
          </w:tcPr>
          <w:p>
            <w:pPr>
              <w:spacing w:line="276" w:lineRule="auto"/>
              <w:rPr>
                <w:noProof/>
              </w:rPr>
            </w:pPr>
            <w:r>
              <w:rPr>
                <w:rFonts w:ascii="Times New Roman" w:hAnsi="Times New Roman"/>
                <w:b/>
                <w:noProof/>
                <w:sz w:val="20"/>
              </w:rPr>
              <w:t>Quel est le problème et pourquoi se situe-t-il au niveau de l’Union?</w:t>
            </w:r>
          </w:p>
        </w:tc>
      </w:tr>
      <w:tr>
        <w:trPr>
          <w:trHeight w:val="2415"/>
        </w:trPr>
        <w:tc>
          <w:tcPr>
            <w:tcW w:w="9175" w:type="dxa"/>
          </w:tcPr>
          <w:p>
            <w:pPr>
              <w:spacing w:before="120" w:after="120" w:line="276" w:lineRule="auto"/>
              <w:jc w:val="both"/>
              <w:rPr>
                <w:rFonts w:ascii="Times New Roman" w:eastAsia="Times New Roman" w:hAnsi="Times New Roman"/>
                <w:noProof/>
                <w:sz w:val="20"/>
              </w:rPr>
            </w:pPr>
            <w:r>
              <w:rPr>
                <w:rFonts w:ascii="Times New Roman" w:hAnsi="Times New Roman"/>
                <w:noProof/>
                <w:sz w:val="20"/>
              </w:rPr>
              <w:t>Les pouvoirs publics adoptent de plus en plus de mesures liées au logement, y compris des mesures concernant les locations de courte durée et l’acquisition ou l’utilisation de biens immobiliers résidentiels à des fins autres que la résidence principale, qui sont susceptibles de restreindre les libertés du marché intérieur. La CJUE a reconnu que l’accessibilité financière et la disponibilité des logements peuvent constituer une raison impérieuse d’intérêt général susceptible de justifier des restrictions aux libertés du marché intérieur, mais sa jurisprudence et le droit de l’Union en vigueur ne fournissent que des principes généraux. Il en résulte une insécurité juridique quant aux conditions dans lesquelles des mesures liées au logement peuvent être introduites, ainsi qu’un alourdissement de la charge administrative, des coûts de mise en conformité et des contentieux. Sans nouvelle intervention de l’UE, les difficultés rencontrées pour recenser, justifier et concevoir des interventions liées au logement qui soient compatibles avec le droit de l’Union persisteront.</w:t>
            </w:r>
          </w:p>
        </w:tc>
      </w:tr>
      <w:tr>
        <w:tc>
          <w:tcPr>
            <w:tcW w:w="9175" w:type="dxa"/>
            <w:shd w:val="clear" w:color="auto" w:fill="F2F2F2" w:themeFill="background1" w:themeFillShade="F2"/>
          </w:tcPr>
          <w:p>
            <w:pPr>
              <w:spacing w:line="276" w:lineRule="auto"/>
              <w:jc w:val="both"/>
              <w:rPr>
                <w:noProof/>
              </w:rPr>
            </w:pPr>
            <w:r>
              <w:rPr>
                <w:rFonts w:ascii="Times New Roman" w:hAnsi="Times New Roman"/>
                <w:b/>
                <w:noProof/>
                <w:sz w:val="20"/>
              </w:rPr>
              <w:t>Quels sont les objectifs à atteindre?</w:t>
            </w:r>
          </w:p>
        </w:tc>
      </w:tr>
      <w:tr>
        <w:trPr>
          <w:trHeight w:val="1269"/>
        </w:trPr>
        <w:tc>
          <w:tcPr>
            <w:tcW w:w="9175" w:type="dxa"/>
          </w:tcPr>
          <w:p>
            <w:pPr>
              <w:spacing w:before="120" w:after="120" w:line="276" w:lineRule="auto"/>
              <w:jc w:val="both"/>
              <w:rPr>
                <w:rFonts w:ascii="Times New Roman" w:eastAsia="Times New Roman" w:hAnsi="Times New Roman"/>
                <w:noProof/>
                <w:sz w:val="20"/>
              </w:rPr>
            </w:pPr>
            <w:r>
              <w:rPr>
                <w:rFonts w:ascii="Times New Roman" w:hAnsi="Times New Roman"/>
                <w:noProof/>
                <w:sz w:val="20"/>
              </w:rPr>
              <w:t xml:space="preserve">L’initiative établit un cadre commun pour l’évaluation, la justification et la proportionnalité des mesures liées au logement qui affectent les libertés du marché intérieur dans les zones tendues en matière de logement. Ses objectifs généraux sont d’améliorer la sécurité juridique, la transparence et la prévisibilité et de garantir que les restrictions sont proportionnées et ne sont utilisées qu’en dernier recours. </w:t>
            </w:r>
          </w:p>
        </w:tc>
      </w:tr>
      <w:tr>
        <w:tc>
          <w:tcPr>
            <w:tcW w:w="9175" w:type="dxa"/>
            <w:shd w:val="clear" w:color="auto" w:fill="F2F2F2" w:themeFill="background1" w:themeFillShade="F2"/>
          </w:tcPr>
          <w:p>
            <w:pPr>
              <w:spacing w:line="276" w:lineRule="auto"/>
              <w:jc w:val="both"/>
              <w:rPr>
                <w:noProof/>
              </w:rPr>
            </w:pPr>
            <w:r>
              <w:rPr>
                <w:rFonts w:ascii="Times New Roman" w:hAnsi="Times New Roman"/>
                <w:b/>
                <w:noProof/>
                <w:sz w:val="20"/>
              </w:rPr>
              <w:t>Quelle est la valeur ajoutée de l’action au niveau de l’Union (subsidiarité)?</w:t>
            </w:r>
          </w:p>
        </w:tc>
      </w:tr>
      <w:tr>
        <w:trPr>
          <w:trHeight w:val="827"/>
        </w:trPr>
        <w:tc>
          <w:tcPr>
            <w:tcW w:w="9175" w:type="dxa"/>
          </w:tcPr>
          <w:p>
            <w:pPr>
              <w:spacing w:before="120" w:after="120" w:line="276" w:lineRule="auto"/>
              <w:jc w:val="both"/>
              <w:rPr>
                <w:i/>
                <w:iCs/>
                <w:noProof/>
              </w:rPr>
            </w:pPr>
            <w:r>
              <w:rPr>
                <w:rFonts w:ascii="Times New Roman" w:hAnsi="Times New Roman"/>
                <w:noProof/>
                <w:sz w:val="20"/>
              </w:rPr>
              <w:t xml:space="preserve">La valeur ajoutée de cette action réside dans un cadre procédural commun qui préserve la flexibilité locale tout en garantissant la cohérence avec le droit de l’UE. </w:t>
            </w:r>
          </w:p>
        </w:tc>
      </w:tr>
      <w:tr>
        <w:tc>
          <w:tcPr>
            <w:tcW w:w="9175" w:type="dxa"/>
            <w:shd w:val="clear" w:color="auto" w:fill="D9D9D9" w:themeFill="background1" w:themeFillShade="D9"/>
          </w:tcPr>
          <w:p>
            <w:pPr>
              <w:pStyle w:val="Heading1"/>
              <w:spacing w:before="0" w:line="276" w:lineRule="auto"/>
              <w:jc w:val="center"/>
              <w:outlineLvl w:val="0"/>
              <w:rPr>
                <w:rFonts w:ascii="Times New Roman" w:eastAsia="Times New Roman" w:hAnsi="Times New Roman"/>
                <w:noProof/>
                <w:color w:val="auto"/>
                <w:sz w:val="22"/>
              </w:rPr>
            </w:pPr>
            <w:r>
              <w:rPr>
                <w:rFonts w:ascii="Times New Roman" w:hAnsi="Times New Roman"/>
                <w:noProof/>
                <w:color w:val="auto"/>
                <w:sz w:val="22"/>
              </w:rPr>
              <w:t>B. Les solutions</w:t>
            </w:r>
          </w:p>
        </w:tc>
      </w:tr>
      <w:tr>
        <w:tc>
          <w:tcPr>
            <w:tcW w:w="9175" w:type="dxa"/>
            <w:shd w:val="clear" w:color="auto" w:fill="F2F2F2" w:themeFill="background1" w:themeFillShade="F2"/>
          </w:tcPr>
          <w:p>
            <w:pPr>
              <w:spacing w:line="276" w:lineRule="auto"/>
              <w:rPr>
                <w:noProof/>
              </w:rPr>
            </w:pPr>
            <w:r>
              <w:rPr>
                <w:rFonts w:ascii="Times New Roman" w:hAnsi="Times New Roman"/>
                <w:b/>
                <w:noProof/>
                <w:sz w:val="20"/>
              </w:rPr>
              <w:t>Quelles sont les différentes options pour atteindre les objectifs? Y a-t-il une option privilégiée? Si tel n’est pas le cas, pourquoi?</w:t>
            </w:r>
          </w:p>
        </w:tc>
      </w:tr>
      <w:tr>
        <w:trPr>
          <w:trHeight w:val="552"/>
        </w:trPr>
        <w:tc>
          <w:tcPr>
            <w:tcW w:w="9175" w:type="dxa"/>
          </w:tcPr>
          <w:p>
            <w:pPr>
              <w:spacing w:before="120" w:after="120" w:line="276" w:lineRule="auto"/>
              <w:jc w:val="both"/>
              <w:rPr>
                <w:rFonts w:ascii="Times New Roman" w:eastAsia="Times New Roman" w:hAnsi="Times New Roman"/>
                <w:noProof/>
                <w:sz w:val="20"/>
              </w:rPr>
            </w:pPr>
            <w:r>
              <w:rPr>
                <w:rFonts w:ascii="Times New Roman" w:hAnsi="Times New Roman"/>
                <w:noProof/>
                <w:sz w:val="20"/>
              </w:rPr>
              <w:t>Outre le scénario de référence, trois options sont envisagées.</w:t>
            </w:r>
          </w:p>
          <w:p>
            <w:pPr>
              <w:spacing w:before="120" w:after="120"/>
              <w:jc w:val="both"/>
              <w:rPr>
                <w:rFonts w:ascii="Times New Roman" w:eastAsia="Times New Roman" w:hAnsi="Times New Roman"/>
                <w:noProof/>
                <w:sz w:val="20"/>
              </w:rPr>
            </w:pPr>
            <w:r>
              <w:rPr>
                <w:rFonts w:ascii="Times New Roman" w:hAnsi="Times New Roman"/>
                <w:b/>
                <w:noProof/>
                <w:sz w:val="20"/>
              </w:rPr>
              <w:t xml:space="preserve">Option 1: </w:t>
            </w:r>
            <w:r>
              <w:rPr>
                <w:rFonts w:ascii="Times New Roman" w:hAnsi="Times New Roman"/>
                <w:noProof/>
                <w:sz w:val="20"/>
              </w:rPr>
              <w:t xml:space="preserve"> une approche de «droit souple», reposant sur des orientations non contraignantes de la Commission concernant le recensement des tensions en matière de logement, la conception des mesures liées au logement et le soutien à l’offre de logements. </w:t>
            </w:r>
          </w:p>
          <w:p>
            <w:pPr>
              <w:spacing w:before="120" w:after="120"/>
              <w:jc w:val="both"/>
              <w:rPr>
                <w:rFonts w:ascii="Times New Roman" w:eastAsia="Times New Roman" w:hAnsi="Times New Roman"/>
                <w:noProof/>
                <w:sz w:val="20"/>
              </w:rPr>
            </w:pPr>
            <w:r>
              <w:rPr>
                <w:rFonts w:ascii="Times New Roman" w:hAnsi="Times New Roman"/>
                <w:b/>
                <w:noProof/>
                <w:sz w:val="20"/>
              </w:rPr>
              <w:t>Option 2:</w:t>
            </w:r>
            <w:r>
              <w:rPr>
                <w:rFonts w:ascii="Times New Roman" w:hAnsi="Times New Roman"/>
                <w:noProof/>
                <w:sz w:val="20"/>
              </w:rPr>
              <w:t xml:space="preserve"> un cadre législatif assorti de règles procédurales communes et d’une méthode souple. Les autorités conserveraient leur pouvoir d’appréciation quant à l’opportunité et aux modalités de leur action, mais lorsqu’elles invoquent une tension en matière de logement pour justifier des restrictions, elles appliqueraient des critères objectifs et transparents. </w:t>
            </w:r>
          </w:p>
          <w:p>
            <w:pPr>
              <w:spacing w:before="120" w:after="120"/>
              <w:jc w:val="both"/>
              <w:rPr>
                <w:noProof/>
              </w:rPr>
            </w:pPr>
            <w:r>
              <w:rPr>
                <w:rFonts w:ascii="Times New Roman" w:hAnsi="Times New Roman"/>
                <w:b/>
                <w:noProof/>
                <w:sz w:val="20"/>
              </w:rPr>
              <w:t xml:space="preserve">Option 3: </w:t>
            </w:r>
            <w:r>
              <w:rPr>
                <w:rFonts w:ascii="Times New Roman" w:hAnsi="Times New Roman"/>
                <w:noProof/>
                <w:sz w:val="20"/>
              </w:rPr>
              <w:t xml:space="preserve">une approche législative prescriptive, imposant aux États membres d’évaluer régulièrement l’accessibilité financière du logement sur l’ensemble de leur territoire, d’appliquer des seuils harmonisés, de désigner des zones tendues et d’élaborer des plans d’accélération du logement. </w:t>
            </w:r>
            <w:bookmarkStart w:id="1" w:name="_Hlk233304981"/>
          </w:p>
          <w:p>
            <w:pPr>
              <w:spacing w:before="120" w:after="120" w:line="276" w:lineRule="auto"/>
              <w:jc w:val="both"/>
              <w:rPr>
                <w:noProof/>
              </w:rPr>
            </w:pPr>
            <w:r>
              <w:rPr>
                <w:rFonts w:ascii="Times New Roman" w:hAnsi="Times New Roman"/>
                <w:noProof/>
                <w:sz w:val="20"/>
              </w:rPr>
              <w:t xml:space="preserve">L’option 2 est l’option privilégiée. Elle améliore la sécurité juridique, la transparence et la cohérence, tout en introduisant des garanties communes en matière de preuve et de procédure. </w:t>
            </w:r>
            <w:bookmarkEnd w:id="1"/>
          </w:p>
        </w:tc>
      </w:tr>
      <w:tr>
        <w:tc>
          <w:tcPr>
            <w:tcW w:w="9175" w:type="dxa"/>
            <w:shd w:val="clear" w:color="auto" w:fill="F2F2F2" w:themeFill="background1" w:themeFillShade="F2"/>
          </w:tcPr>
          <w:p>
            <w:pPr>
              <w:spacing w:line="276" w:lineRule="auto"/>
              <w:jc w:val="both"/>
              <w:rPr>
                <w:noProof/>
              </w:rPr>
            </w:pPr>
            <w:r>
              <w:rPr>
                <w:rFonts w:ascii="Times New Roman" w:hAnsi="Times New Roman"/>
                <w:b/>
                <w:noProof/>
                <w:sz w:val="20"/>
              </w:rPr>
              <w:t>Quelles sont les positions des différentes parties prenantes? Qui soutient quelle option?</w:t>
            </w:r>
          </w:p>
        </w:tc>
      </w:tr>
      <w:tr>
        <w:trPr>
          <w:trHeight w:val="411"/>
        </w:trPr>
        <w:tc>
          <w:tcPr>
            <w:tcW w:w="9175" w:type="dxa"/>
          </w:tcPr>
          <w:p>
            <w:pPr>
              <w:spacing w:before="120" w:after="120" w:line="276" w:lineRule="auto"/>
              <w:jc w:val="both"/>
              <w:rPr>
                <w:i/>
                <w:iCs/>
                <w:noProof/>
              </w:rPr>
            </w:pPr>
            <w:r>
              <w:rPr>
                <w:rFonts w:ascii="Times New Roman" w:hAnsi="Times New Roman"/>
                <w:noProof/>
                <w:sz w:val="20"/>
              </w:rPr>
              <w:t>Les consultations ont fait apparaître un large consensus sur le fait que l’activité de location de courte durée n’est pas le principal facteur de tension en matière de logement et que les contraintes structurelles pesant sur l’offre méritent une plus grande attention. Le modèle d’harmonisation procédurale proposé dans le cadre de l’option 2 a recueilli un soutien accru, à condition que la subsidiarité et le pouvoir d’appréciation local soient respectés.</w:t>
            </w:r>
          </w:p>
        </w:tc>
      </w:tr>
      <w:tr>
        <w:tc>
          <w:tcPr>
            <w:tcW w:w="9175" w:type="dxa"/>
            <w:shd w:val="clear" w:color="auto" w:fill="D9D9D9" w:themeFill="background1" w:themeFillShade="D9"/>
          </w:tcPr>
          <w:p>
            <w:pPr>
              <w:pStyle w:val="Heading1"/>
              <w:spacing w:before="0" w:line="276" w:lineRule="auto"/>
              <w:jc w:val="center"/>
              <w:outlineLvl w:val="0"/>
              <w:rPr>
                <w:rFonts w:ascii="Times New Roman" w:eastAsia="Times New Roman" w:hAnsi="Times New Roman"/>
                <w:noProof/>
                <w:color w:val="auto"/>
                <w:sz w:val="22"/>
              </w:rPr>
            </w:pPr>
            <w:r>
              <w:rPr>
                <w:rFonts w:ascii="Times New Roman" w:hAnsi="Times New Roman"/>
                <w:noProof/>
                <w:color w:val="auto"/>
                <w:sz w:val="22"/>
              </w:rPr>
              <w:lastRenderedPageBreak/>
              <w:t>C. Incidence de l’option privilégiée</w:t>
            </w:r>
          </w:p>
        </w:tc>
      </w:tr>
      <w:tr>
        <w:tc>
          <w:tcPr>
            <w:tcW w:w="9175" w:type="dxa"/>
            <w:shd w:val="clear" w:color="auto" w:fill="F2F2F2" w:themeFill="background1" w:themeFillShade="F2"/>
          </w:tcPr>
          <w:p>
            <w:pPr>
              <w:spacing w:line="276" w:lineRule="auto"/>
              <w:rPr>
                <w:noProof/>
              </w:rPr>
            </w:pPr>
            <w:r>
              <w:rPr>
                <w:rFonts w:ascii="Times New Roman" w:hAnsi="Times New Roman"/>
                <w:b/>
                <w:noProof/>
                <w:sz w:val="20"/>
              </w:rPr>
              <w:t>Quels sont les avantages de l’option privilégiée (ou, à défaut, des options principales)?</w:t>
            </w:r>
          </w:p>
        </w:tc>
      </w:tr>
      <w:tr>
        <w:trPr>
          <w:trHeight w:val="850"/>
        </w:trPr>
        <w:tc>
          <w:tcPr>
            <w:tcW w:w="9175" w:type="dxa"/>
          </w:tcPr>
          <w:p>
            <w:pPr>
              <w:spacing w:before="120" w:after="120" w:line="276" w:lineRule="auto"/>
              <w:jc w:val="both"/>
              <w:rPr>
                <w:noProof/>
              </w:rPr>
            </w:pPr>
            <w:r>
              <w:rPr>
                <w:rFonts w:ascii="Times New Roman" w:hAnsi="Times New Roman"/>
                <w:noProof/>
                <w:sz w:val="20"/>
              </w:rPr>
              <w:t xml:space="preserve">Les principaux avantages sont une amélioration de la sécurité juridique, de la transparence, de la prévisibilité et de la cohérence dans l’application du droit de l’Union, ainsi qu’une réduction de la charge administrative, des coûts de mise en conformité et des contentieux évitables. </w:t>
            </w:r>
          </w:p>
        </w:tc>
      </w:tr>
      <w:tr>
        <w:tc>
          <w:tcPr>
            <w:tcW w:w="9175" w:type="dxa"/>
            <w:shd w:val="clear" w:color="auto" w:fill="F2F2F2" w:themeFill="background1" w:themeFillShade="F2"/>
          </w:tcPr>
          <w:p>
            <w:pPr>
              <w:spacing w:line="276" w:lineRule="auto"/>
              <w:jc w:val="both"/>
              <w:rPr>
                <w:noProof/>
              </w:rPr>
            </w:pPr>
            <w:r>
              <w:rPr>
                <w:rFonts w:ascii="Times New Roman" w:hAnsi="Times New Roman"/>
                <w:b/>
                <w:noProof/>
                <w:sz w:val="20"/>
              </w:rPr>
              <w:t>Quels sont les coûts de l’option privilégiée (ou, à défaut, des options principales)?</w:t>
            </w:r>
          </w:p>
        </w:tc>
      </w:tr>
      <w:tr>
        <w:trPr>
          <w:trHeight w:val="132"/>
        </w:trPr>
        <w:tc>
          <w:tcPr>
            <w:tcW w:w="9175" w:type="dxa"/>
          </w:tcPr>
          <w:p>
            <w:pPr>
              <w:spacing w:before="120" w:after="120" w:line="276" w:lineRule="auto"/>
              <w:jc w:val="both"/>
              <w:rPr>
                <w:noProof/>
              </w:rPr>
            </w:pPr>
            <w:r>
              <w:rPr>
                <w:rFonts w:ascii="Times New Roman" w:hAnsi="Times New Roman"/>
                <w:noProof/>
                <w:sz w:val="20"/>
              </w:rPr>
              <w:t xml:space="preserve">Les principaux coûts incomberaient aux autorités compétentes qui choisissent de s’appuyer sur le cadre pour désigner des zones tendues en matière de logement et justifier des restrictions liées au logement affectant les libertés du marché intérieur. Ces coûts devraient être modérés et en partie compensés par l’existence de critères, de méthodes et de données communs. </w:t>
            </w:r>
          </w:p>
        </w:tc>
      </w:tr>
      <w:tr>
        <w:tc>
          <w:tcPr>
            <w:tcW w:w="9175" w:type="dxa"/>
            <w:shd w:val="clear" w:color="auto" w:fill="F2F2F2" w:themeFill="background1" w:themeFillShade="F2"/>
          </w:tcPr>
          <w:p>
            <w:pPr>
              <w:spacing w:line="276" w:lineRule="auto"/>
              <w:jc w:val="both"/>
              <w:rPr>
                <w:noProof/>
              </w:rPr>
            </w:pPr>
            <w:r>
              <w:rPr>
                <w:rFonts w:ascii="Times New Roman" w:hAnsi="Times New Roman"/>
                <w:b/>
                <w:noProof/>
                <w:sz w:val="20"/>
              </w:rPr>
              <w:t>Quelles sont les incidences sur les PME et la compétitivité?</w:t>
            </w:r>
          </w:p>
        </w:tc>
      </w:tr>
      <w:tr>
        <w:trPr>
          <w:trHeight w:val="1949"/>
        </w:trPr>
        <w:tc>
          <w:tcPr>
            <w:tcW w:w="9175" w:type="dxa"/>
          </w:tcPr>
          <w:p>
            <w:pPr>
              <w:spacing w:before="120" w:line="276" w:lineRule="auto"/>
              <w:jc w:val="both"/>
              <w:rPr>
                <w:rFonts w:ascii="Times New Roman" w:eastAsia="Times New Roman" w:hAnsi="Times New Roman"/>
                <w:noProof/>
                <w:sz w:val="20"/>
              </w:rPr>
            </w:pPr>
            <w:r>
              <w:rPr>
                <w:rFonts w:ascii="Times New Roman" w:hAnsi="Times New Roman"/>
                <w:noProof/>
                <w:sz w:val="20"/>
              </w:rPr>
              <w:t>Les PME (hôtes professionnels proposant des locations de courte durée, gestionnaires immobiliers et services auxiliaires) peuvent être indirectement touchées lorsque des restrictions locales sont introduites. Les PME actives sur plusieurs marchés locaux devraient bénéficier d’une sécurité juridique et d’une prévisibilité accrues. Les effets sur la compétitivité devraient être limités et globalement neutres. Les effets sur les entreprises sont indirects et dépendent de la mise en œuvre locale. L’amélioration de la sécurité juridique, de la transparence et de la prévisibilité devrait réduire l’incertitude réglementaire et les coûts de mise en conformité pour les opérateurs économiques actifs dans plusieurs juridictions.</w:t>
            </w:r>
          </w:p>
        </w:tc>
      </w:tr>
      <w:tr>
        <w:tc>
          <w:tcPr>
            <w:tcW w:w="9175" w:type="dxa"/>
            <w:shd w:val="clear" w:color="auto" w:fill="F2F2F2" w:themeFill="background1" w:themeFillShade="F2"/>
          </w:tcPr>
          <w:p>
            <w:pPr>
              <w:spacing w:line="276" w:lineRule="auto"/>
              <w:jc w:val="both"/>
              <w:rPr>
                <w:noProof/>
              </w:rPr>
            </w:pPr>
            <w:r>
              <w:rPr>
                <w:rFonts w:ascii="Times New Roman" w:hAnsi="Times New Roman"/>
                <w:b/>
                <w:noProof/>
                <w:sz w:val="20"/>
              </w:rPr>
              <w:t>Y aura-t-il une incidence notable sur les budgets nationaux et les administrations nationales?</w:t>
            </w:r>
          </w:p>
        </w:tc>
      </w:tr>
      <w:tr>
        <w:tc>
          <w:tcPr>
            <w:tcW w:w="9175" w:type="dxa"/>
          </w:tcPr>
          <w:p>
            <w:pPr>
              <w:spacing w:before="120" w:after="120" w:line="276" w:lineRule="auto"/>
              <w:jc w:val="both"/>
              <w:rPr>
                <w:noProof/>
              </w:rPr>
            </w:pPr>
            <w:r>
              <w:rPr>
                <w:rFonts w:ascii="Times New Roman" w:hAnsi="Times New Roman"/>
                <w:noProof/>
                <w:sz w:val="20"/>
              </w:rPr>
              <w:t xml:space="preserve">La principale incidence directe concernerait les administrations qui décident de recourir au cadre. Ces coûts devraient être proportionnés et en partie compensés par la disponibilité de critères et de méthodes communs. L’option privilégiée n’impose ni obligations contraignantes d’investissement dans le logement ni plans de logement harmonisés. </w:t>
            </w:r>
          </w:p>
        </w:tc>
      </w:tr>
      <w:tr>
        <w:tc>
          <w:tcPr>
            <w:tcW w:w="9175" w:type="dxa"/>
            <w:shd w:val="clear" w:color="auto" w:fill="F2F2F2" w:themeFill="background1" w:themeFillShade="F2"/>
          </w:tcPr>
          <w:p>
            <w:pPr>
              <w:spacing w:line="276" w:lineRule="auto"/>
              <w:jc w:val="both"/>
              <w:rPr>
                <w:noProof/>
              </w:rPr>
            </w:pPr>
            <w:r>
              <w:rPr>
                <w:rFonts w:ascii="Times New Roman" w:hAnsi="Times New Roman"/>
                <w:b/>
                <w:noProof/>
                <w:sz w:val="20"/>
              </w:rPr>
              <w:t>Y aura-t-il d’autres incidences notables?</w:t>
            </w:r>
          </w:p>
        </w:tc>
      </w:tr>
      <w:tr>
        <w:trPr>
          <w:trHeight w:val="1466"/>
        </w:trPr>
        <w:tc>
          <w:tcPr>
            <w:tcW w:w="9175" w:type="dxa"/>
          </w:tcPr>
          <w:p>
            <w:pPr>
              <w:spacing w:before="120" w:after="120"/>
              <w:jc w:val="both"/>
              <w:rPr>
                <w:rFonts w:ascii="Times New Roman" w:eastAsia="Times New Roman" w:hAnsi="Times New Roman"/>
                <w:noProof/>
                <w:sz w:val="20"/>
              </w:rPr>
            </w:pPr>
            <w:r>
              <w:rPr>
                <w:rFonts w:ascii="Times New Roman" w:hAnsi="Times New Roman"/>
                <w:noProof/>
                <w:sz w:val="20"/>
              </w:rPr>
              <w:t xml:space="preserve">L’option privilégiée pourrait avoir des incidences sociales positives en aidant les autorités à adopter des mesures mieux justifiées et ciblées pour protéger la disponibilité et l’accessibilité financière des logements pour les résidents. Les incidences environnementales sont mitigées et indirectes. La vérification de la cohérence climatique est positive, puisqu’aucune nouvelle construction ni aucune norme technique liée au climat n’est requise, et une meilleure utilisation des bâtiments existants est encouragée. L’initiative est cohérente avec le règlement (UE) 2024/1028 concernant l’enregistrement et le partage de données relatifs aux locations de logements de courte durée. </w:t>
            </w:r>
          </w:p>
        </w:tc>
      </w:tr>
      <w:tr>
        <w:tc>
          <w:tcPr>
            <w:tcW w:w="9175" w:type="dxa"/>
            <w:shd w:val="clear" w:color="auto" w:fill="F2F2F2" w:themeFill="background1" w:themeFillShade="F2"/>
          </w:tcPr>
          <w:p>
            <w:pPr>
              <w:spacing w:line="276" w:lineRule="auto"/>
              <w:rPr>
                <w:noProof/>
              </w:rPr>
            </w:pPr>
            <w:r>
              <w:rPr>
                <w:rFonts w:ascii="Times New Roman" w:hAnsi="Times New Roman"/>
                <w:b/>
                <w:noProof/>
                <w:sz w:val="20"/>
              </w:rPr>
              <w:t>Proportionnalité?</w:t>
            </w:r>
          </w:p>
        </w:tc>
      </w:tr>
      <w:tr>
        <w:tc>
          <w:tcPr>
            <w:tcW w:w="9175" w:type="dxa"/>
          </w:tcPr>
          <w:p>
            <w:pPr>
              <w:spacing w:before="120" w:after="120" w:line="276" w:lineRule="auto"/>
              <w:jc w:val="both"/>
              <w:rPr>
                <w:rFonts w:ascii="Times New Roman" w:eastAsia="Times New Roman" w:hAnsi="Times New Roman"/>
                <w:noProof/>
                <w:sz w:val="20"/>
              </w:rPr>
            </w:pPr>
            <w:r>
              <w:rPr>
                <w:rFonts w:ascii="Times New Roman" w:hAnsi="Times New Roman"/>
                <w:noProof/>
                <w:sz w:val="20"/>
              </w:rPr>
              <w:t xml:space="preserve">L’option privilégiée est proportionnée: elle n’établit des exigences procédurales communes que lorsque les autorités compétentes choisissent d’invoquer une tension en matière de logement pour justifier des mesures affectant les libertés du marché intérieur. Elle laisse aux autorités compétentes les décisions essentielles en ce qui concerne l’opportunité d’agir, le lieu de l’action et les mesures à adopter. </w:t>
            </w:r>
          </w:p>
        </w:tc>
      </w:tr>
      <w:tr>
        <w:tc>
          <w:tcPr>
            <w:tcW w:w="9175" w:type="dxa"/>
            <w:shd w:val="clear" w:color="auto" w:fill="D9D9D9" w:themeFill="background1" w:themeFillShade="D9"/>
          </w:tcPr>
          <w:p>
            <w:pPr>
              <w:pStyle w:val="Heading1"/>
              <w:spacing w:before="0" w:line="276" w:lineRule="auto"/>
              <w:jc w:val="center"/>
              <w:outlineLvl w:val="0"/>
              <w:rPr>
                <w:rFonts w:ascii="Times New Roman" w:eastAsia="Times New Roman" w:hAnsi="Times New Roman"/>
                <w:noProof/>
                <w:color w:val="auto"/>
                <w:sz w:val="22"/>
              </w:rPr>
            </w:pPr>
            <w:r>
              <w:rPr>
                <w:rFonts w:ascii="Times New Roman" w:hAnsi="Times New Roman"/>
                <w:noProof/>
                <w:color w:val="auto"/>
                <w:sz w:val="22"/>
              </w:rPr>
              <w:t>D. Suivi</w:t>
            </w:r>
          </w:p>
        </w:tc>
      </w:tr>
      <w:tr>
        <w:tc>
          <w:tcPr>
            <w:tcW w:w="9175" w:type="dxa"/>
            <w:shd w:val="clear" w:color="auto" w:fill="F2F2F2" w:themeFill="background1" w:themeFillShade="F2"/>
          </w:tcPr>
          <w:p>
            <w:pPr>
              <w:spacing w:line="276" w:lineRule="auto"/>
              <w:rPr>
                <w:noProof/>
              </w:rPr>
            </w:pPr>
            <w:r>
              <w:rPr>
                <w:rFonts w:ascii="Times New Roman" w:hAnsi="Times New Roman"/>
                <w:b/>
                <w:noProof/>
                <w:sz w:val="20"/>
              </w:rPr>
              <w:t>Quand la législation sera-t-elle réexaminée?</w:t>
            </w:r>
          </w:p>
        </w:tc>
      </w:tr>
      <w:tr>
        <w:tc>
          <w:tcPr>
            <w:tcW w:w="9175" w:type="dxa"/>
          </w:tcPr>
          <w:p>
            <w:pPr>
              <w:spacing w:before="120" w:after="120" w:line="276" w:lineRule="auto"/>
              <w:jc w:val="both"/>
              <w:rPr>
                <w:rFonts w:ascii="Times New Roman" w:eastAsia="Times New Roman" w:hAnsi="Times New Roman"/>
                <w:noProof/>
                <w:sz w:val="20"/>
              </w:rPr>
            </w:pPr>
            <w:r>
              <w:rPr>
                <w:rFonts w:ascii="Times New Roman" w:hAnsi="Times New Roman"/>
                <w:noProof/>
                <w:sz w:val="20"/>
              </w:rPr>
              <w:t xml:space="preserve">Le suivi portera sur le fonctionnement du cadre de gouvernance, sur les éléments probants qui sous-tendent les évaluations des tensions en matière de logement et les mesures, sur les recours juridictionnels et sur la prise en compte des considérations relatives à l’offre de logements. La première évaluation devrait avoir lieu au plus tôt cinq ans après l’adoption. </w:t>
            </w:r>
          </w:p>
        </w:tc>
      </w:tr>
    </w:tbl>
    <w:p>
      <w:pPr>
        <w:pStyle w:val="Heading1"/>
        <w:spacing w:before="0"/>
        <w:jc w:val="both"/>
        <w:rPr>
          <w:noProof/>
          <w:lang w:val="fr-BE"/>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0484C5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E4C6DF5"/>
    <w:multiLevelType w:val="hybridMultilevel"/>
    <w:tmpl w:val="62CA7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3B733C"/>
    <w:multiLevelType w:val="hybridMultilevel"/>
    <w:tmpl w:val="0BB459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B1504DC"/>
    <w:multiLevelType w:val="hybridMultilevel"/>
    <w:tmpl w:val="2C9CD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accompagnant le document:"/>
    <w:docVar w:name="LW_CORRIGENDUM" w:val="&lt;UNUSED&gt;"/>
    <w:docVar w:name="LW_COVERPAGE_EXISTS" w:val="True"/>
    <w:docVar w:name="LW_COVERPAGE_GUID" w:val="6A825C29-E71B-42B8-AFB6-70EA24E1AC26"/>
    <w:docVar w:name="LW_COVERPAGE_TYPE" w:val="1"/>
    <w:docVar w:name="LW_CROSSREFERENCE" w:val="{COM(2026) 599 final} - {SEC(2026) 599 final} - {SWD(2026) 605 final} - {SWD(2026) 606 final}"/>
    <w:docVar w:name="LW_DocType" w:val="NORMAL"/>
    <w:docVar w:name="LW_EMISSION" w:val="9.9.2026"/>
    <w:docVar w:name="LW_EMISSION_ISODATE" w:val="2026-09-09"/>
    <w:docVar w:name="LW_EMISSION_LOCATION" w:val="BRX"/>
    <w:docVar w:name="LW_EMISSION_PREFIX" w:val="Bruxelles, le "/>
    <w:docVar w:name="LW_EMISSION_SUFFIX" w:val=" "/>
    <w:docVar w:name="LW_ID_DOCTYPE_NONLW" w:val="CP-027"/>
    <w:docVar w:name="LW_LANGUE" w:val="FR"/>
    <w:docVar w:name="LW_LEVEL_OF_SENSITIVITY" w:val="Standard treatment"/>
    <w:docVar w:name="LW_NOM.INST" w:val="COMMISSION EUROPÉENNE"/>
    <w:docVar w:name="LW_NOM.INST_JOINTDOC" w:val="&lt;EMPTY&gt;"/>
    <w:docVar w:name="LW_OBJETACTEPRINCIPAL.CP" w:val="sur le logement abordable"/>
    <w:docVar w:name="LW_PART_NBR" w:val="1"/>
    <w:docVar w:name="LW_PART_NBR_TOTAL" w:val="1"/>
    <w:docVar w:name="LW_REF.INST.NEW" w:val="SWD"/>
    <w:docVar w:name="LW_REF.INST.NEW_ADOPTED" w:val="final"/>
    <w:docVar w:name="LW_REF.INST.NEW_TEXT" w:val="(2026) 60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u8230?]&lt;/FMT&gt;_x000d__x000d__x000b_"/>
    <w:docVar w:name="LW_TYPE.DOC.CP" w:val="DOCUMENT DE TRAVAIL DES SERVICES DE LA COMMISSION_x000b__x000b_RÉSUMÉ DU RAPPORT D'ANALYSE D'IMPACT_x000b_"/>
    <w:docVar w:name="LW_TYPEACTEPRINCIPAL.CP" w:val="Proposition de 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7E46B5CE-656E-46F2-9D54-68971487D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line="252" w:lineRule="auto"/>
      <w:outlineLvl w:val="0"/>
    </w:pPr>
    <w:rPr>
      <w:rFonts w:asciiTheme="majorHAnsi" w:eastAsiaTheme="majorEastAsia" w:hAnsiTheme="majorHAnsi" w:cstheme="majorBidi"/>
      <w:b/>
      <w:bCs/>
      <w:color w:val="1F4E79"/>
      <w:sz w:val="26"/>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1F4E79"/>
      <w:sz w:val="26"/>
      <w:szCs w:val="28"/>
      <w:lang w:val="fr-FR"/>
    </w:rPr>
  </w:style>
  <w:style w:type="paragraph" w:styleId="ListBullet">
    <w:name w:val="List Bullet"/>
    <w:basedOn w:val="Normal"/>
    <w:uiPriority w:val="99"/>
    <w:semiHidden/>
    <w:unhideWhenUsed/>
    <w:pPr>
      <w:numPr>
        <w:numId w:val="1"/>
      </w:numPr>
      <w:tabs>
        <w:tab w:val="clear" w:pos="360"/>
      </w:tabs>
      <w:spacing w:after="100" w:line="252" w:lineRule="auto"/>
      <w:ind w:left="0" w:firstLine="0"/>
      <w:contextualSpacing/>
    </w:pPr>
    <w:rPr>
      <w:rFonts w:ascii="Times New Roman" w:eastAsia="Times New Roman" w:hAnsi="Times New Roman"/>
    </w:rPr>
  </w:style>
  <w:style w:type="table" w:styleId="TableGrid">
    <w:name w:val="Table Grid"/>
    <w:basedOn w:val="TableNormal"/>
    <w:uiPriority w:val="59"/>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25058">
      <w:bodyDiv w:val="1"/>
      <w:marLeft w:val="0"/>
      <w:marRight w:val="0"/>
      <w:marTop w:val="0"/>
      <w:marBottom w:val="0"/>
      <w:divBdr>
        <w:top w:val="none" w:sz="0" w:space="0" w:color="auto"/>
        <w:left w:val="none" w:sz="0" w:space="0" w:color="auto"/>
        <w:bottom w:val="none" w:sz="0" w:space="0" w:color="auto"/>
        <w:right w:val="none" w:sz="0" w:space="0" w:color="auto"/>
      </w:divBdr>
    </w:div>
    <w:div w:id="1103959102">
      <w:bodyDiv w:val="1"/>
      <w:marLeft w:val="0"/>
      <w:marRight w:val="0"/>
      <w:marTop w:val="0"/>
      <w:marBottom w:val="0"/>
      <w:divBdr>
        <w:top w:val="none" w:sz="0" w:space="0" w:color="auto"/>
        <w:left w:val="none" w:sz="0" w:space="0" w:color="auto"/>
        <w:bottom w:val="none" w:sz="0" w:space="0" w:color="auto"/>
        <w:right w:val="none" w:sz="0" w:space="0" w:color="auto"/>
      </w:divBdr>
    </w:div>
    <w:div w:id="149390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DAF4484D18C4F4D95D6492997A33CB5" ma:contentTypeVersion="21" ma:contentTypeDescription="Create a new document." ma:contentTypeScope="" ma:versionID="fd02726537f10d0622b8e082d6916830">
  <xsd:schema xmlns:xsd="http://www.w3.org/2001/XMLSchema" xmlns:xs="http://www.w3.org/2001/XMLSchema" xmlns:p="http://schemas.microsoft.com/office/2006/metadata/properties" xmlns:ns1="http://schemas.microsoft.com/sharepoint/v3" xmlns:ns2="5d6de6f9-1b0f-4326-b081-5bd9075b1903" xmlns:ns3="http://schemas.microsoft.com/sharepoint/v3/fields" xmlns:ns4="a2c83353-3777-449e-be28-6ba3f1c70682" targetNamespace="http://schemas.microsoft.com/office/2006/metadata/properties" ma:root="true" ma:fieldsID="cb55cb34ea9293a7e0b0d97c59770189" ns1:_="" ns2:_="" ns3:_="" ns4:_="">
    <xsd:import namespace="http://schemas.microsoft.com/sharepoint/v3"/>
    <xsd:import namespace="5d6de6f9-1b0f-4326-b081-5bd9075b1903"/>
    <xsd:import namespace="http://schemas.microsoft.com/sharepoint/v3/fields"/>
    <xsd:import namespace="a2c83353-3777-449e-be28-6ba3f1c706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_Version" minOccurs="0"/>
                <xsd:element ref="ns3:_Status" minOccurs="0"/>
                <xsd:element ref="ns1:DateCompleted"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Topic" minOccurs="0"/>
                <xsd:element ref="ns2:Country" minOccurs="0"/>
                <xsd:element ref="ns2: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ateCompleted" ma:index="14" nillable="true" ma:displayName="Date Completed"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d6de6f9-1b0f-4326-b081-5bd9075b19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Topic" ma:index="24" nillable="true" ma:displayName="Topic" ma:description="Social housing" ma:format="Dropdown" ma:internalName="Topic">
      <xsd:simpleType>
        <xsd:restriction base="dms:Text">
          <xsd:maxLength value="255"/>
        </xsd:restriction>
      </xsd:simpleType>
    </xsd:element>
    <xsd:element name="Country" ma:index="25" nillable="true" ma:displayName="Country" ma:format="Dropdown" ma:internalName="Country">
      <xsd:simpleType>
        <xsd:restriction base="dms:Choice">
          <xsd:enumeration value="BE"/>
          <xsd:enumeration value="BG"/>
          <xsd:enumeration value="CZ"/>
        </xsd:restriction>
      </xsd:simpleType>
    </xsd:element>
    <xsd:element name="Topics" ma:index="26" nillable="true" ma:displayName="Topics" ma:format="Dropdown" ma:internalName="Topics">
      <xsd:complexType>
        <xsd:complexContent>
          <xsd:extension base="dms:MultiChoice">
            <xsd:sequence>
              <xsd:element name="Value" maxOccurs="unbounded" minOccurs="0" nillable="true">
                <xsd:simpleType>
                  <xsd:restriction base="dms:Choice">
                    <xsd:enumeration value="Financing"/>
                    <xsd:enumeration value="Financialisation"/>
                    <xsd:enumeration value="Land, zoning, permitting"/>
                    <xsd:enumeration value="Construction"/>
                    <xsd:enumeration value="Energy efficiency"/>
                    <xsd:enumeration value="Labour &amp; skills"/>
                    <xsd:enumeration value="Simplification"/>
                    <xsd:enumeration value="STR &amp; tourism"/>
                    <xsd:enumeration value="Social housing"/>
                    <xsd:enumeration value="Affordable housing"/>
                    <xsd:enumeration value="Community led"/>
                    <xsd:enumeration value="Homelessness"/>
                    <xsd:enumeration value="Students &amp; youth"/>
                    <xsd:enumeration value="Elderly"/>
                    <xsd:enumeration value="Disabled"/>
                    <xsd:enumeration value="Governance"/>
                    <xsd:enumeration value="Cities &amp; regions"/>
                    <xsd:enumeration value="Repurposing &amp; vacancy"/>
                  </xsd:restriction>
                </xsd:simpleType>
              </xsd:element>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2" nillable="true" ma:displayName="Version" ma:internalName="_Version">
      <xsd:simpleType>
        <xsd:restriction base="dms:Text"/>
      </xsd:simpleType>
    </xsd:element>
    <xsd:element name="_Status" ma:index="13"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2c83353-3777-449e-be28-6ba3f1c706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e8e3cc-dbcd-4a9d-86fe-9ce3c6856a25}" ma:internalName="TaxCatchAll" ma:showField="CatchAllData" ma:web="a2c83353-3777-449e-be28-6ba3f1c706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d6de6f9-1b0f-4326-b081-5bd9075b1903">
      <Terms xmlns="http://schemas.microsoft.com/office/infopath/2007/PartnerControls"/>
    </lcf76f155ced4ddcb4097134ff3c332f>
    <TaxCatchAll xmlns="a2c83353-3777-449e-be28-6ba3f1c70682" xsi:nil="true"/>
    <_Version xmlns="http://schemas.microsoft.com/sharepoint/v3/fields" xsi:nil="true"/>
    <DateCompleted xmlns="http://schemas.microsoft.com/sharepoint/v3" xsi:nil="true"/>
    <_Status xmlns="http://schemas.microsoft.com/sharepoint/v3/fields">Not Started</_Status>
    <Country xmlns="5d6de6f9-1b0f-4326-b081-5bd9075b1903" xsi:nil="true"/>
    <Topic xmlns="5d6de6f9-1b0f-4326-b081-5bd9075b1903" xsi:nil="true"/>
    <Topics xmlns="5d6de6f9-1b0f-4326-b081-5bd9075b1903" xsi:nil="true"/>
  </documentManagement>
</p:properties>
</file>

<file path=customXml/itemProps1.xml><?xml version="1.0" encoding="utf-8"?>
<ds:datastoreItem xmlns:ds="http://schemas.openxmlformats.org/officeDocument/2006/customXml" ds:itemID="{6943EC7C-3FB7-4E9F-9E1E-8FE2D93B982F}">
  <ds:schemaRefs>
    <ds:schemaRef ds:uri="http://schemas.microsoft.com/sharepoint/v3/contenttype/forms"/>
  </ds:schemaRefs>
</ds:datastoreItem>
</file>

<file path=customXml/itemProps2.xml><?xml version="1.0" encoding="utf-8"?>
<ds:datastoreItem xmlns:ds="http://schemas.openxmlformats.org/officeDocument/2006/customXml" ds:itemID="{859F6867-F523-4083-BAEA-3ADE2E4747DD}">
  <ds:schemaRefs>
    <ds:schemaRef ds:uri="http://schemas.openxmlformats.org/officeDocument/2006/bibliography"/>
  </ds:schemaRefs>
</ds:datastoreItem>
</file>

<file path=customXml/itemProps3.xml><?xml version="1.0" encoding="utf-8"?>
<ds:datastoreItem xmlns:ds="http://schemas.openxmlformats.org/officeDocument/2006/customXml" ds:itemID="{28DA2F75-C435-402A-8EDA-E0E0FA09B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d6de6f9-1b0f-4326-b081-5bd9075b1903"/>
    <ds:schemaRef ds:uri="http://schemas.microsoft.com/sharepoint/v3/fields"/>
    <ds:schemaRef ds:uri="a2c83353-3777-449e-be28-6ba3f1c706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F0BE0D-2EB8-42A4-816C-E4D597C7714A}">
  <ds:schemaRefs>
    <ds:schemaRef ds:uri="http://schemas.microsoft.com/office/2006/metadata/properties"/>
    <ds:schemaRef ds:uri="http://schemas.microsoft.com/office/infopath/2007/PartnerControls"/>
    <ds:schemaRef ds:uri="5d6de6f9-1b0f-4326-b081-5bd9075b1903"/>
    <ds:schemaRef ds:uri="a2c83353-3777-449e-be28-6ba3f1c70682"/>
    <ds:schemaRef ds:uri="http://schemas.microsoft.com/sharepoint/v3/field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1135</Words>
  <Characters>6471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6</cp:revision>
  <dcterms:created xsi:type="dcterms:W3CDTF">2026-09-03T18:09:00Z</dcterms:created>
  <dcterms:modified xsi:type="dcterms:W3CDTF">2026-09-21T10:29:00Z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0x010100BDAF4484D18C4F4D95D6492997A33CB5</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